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240" w:lineRule="auto"/>
        <w:ind w:left="90" w:firstLine="0"/>
        <w:rPr>
          <w:rFonts w:ascii="Roboto" w:cs="Roboto" w:eastAsia="Roboto" w:hAnsi="Roboto"/>
          <w:color w:val="0f3960"/>
        </w:rPr>
      </w:pPr>
      <w:bookmarkStart w:colFirst="0" w:colLast="0" w:name="_nx7t6tuvsw27" w:id="0"/>
      <w:bookmarkEnd w:id="0"/>
      <w:r w:rsidDel="00000000" w:rsidR="00000000" w:rsidRPr="00000000">
        <w:rPr>
          <w:rFonts w:ascii="Roboto Slab" w:cs="Roboto Slab" w:eastAsia="Roboto Slab" w:hAnsi="Roboto Slab"/>
          <w:b w:val="1"/>
          <w:color w:val="0f3960"/>
          <w:sz w:val="60"/>
          <w:szCs w:val="60"/>
          <w:rtl w:val="0"/>
        </w:rPr>
        <w:t xml:space="preserve">ISO 9001:2015 Corrective Action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90" w:firstLine="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spacing w:after="0" w:line="240" w:lineRule="auto"/>
        <w:ind w:left="90" w:firstLine="0"/>
        <w:rPr>
          <w:rFonts w:ascii="Roboto" w:cs="Roboto" w:eastAsia="Roboto" w:hAnsi="Roboto"/>
          <w:color w:val="0f3960"/>
          <w:sz w:val="28"/>
          <w:szCs w:val="28"/>
        </w:rPr>
      </w:pPr>
      <w:bookmarkStart w:colFirst="0" w:colLast="0" w:name="_erlnxlbnclu7" w:id="1"/>
      <w:bookmarkEnd w:id="1"/>
      <w:r w:rsidDel="00000000" w:rsidR="00000000" w:rsidRPr="00000000">
        <w:rPr>
          <w:rFonts w:ascii="Roboto" w:cs="Roboto" w:eastAsia="Roboto" w:hAnsi="Roboto"/>
          <w:color w:val="0f3960"/>
          <w:sz w:val="28"/>
          <w:szCs w:val="28"/>
          <w:rtl w:val="0"/>
        </w:rPr>
        <w:t xml:space="preserve">This quality management corrective action report can assist in analyzing risks and can be used by all within an organization.</w:t>
      </w:r>
    </w:p>
    <w:p w:rsidR="00000000" w:rsidDel="00000000" w:rsidP="00000000" w:rsidRDefault="00000000" w:rsidRPr="00000000" w14:paraId="00000004">
      <w:pPr>
        <w:spacing w:line="240" w:lineRule="auto"/>
        <w:ind w:left="450" w:hanging="360"/>
        <w:rPr>
          <w:rFonts w:ascii="Roboto Medium" w:cs="Roboto Medium" w:eastAsia="Roboto Medium" w:hAnsi="Roboto Medium"/>
          <w:color w:val="0f396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Roboto Medium" w:cs="Roboto Medium" w:eastAsia="Roboto Medium" w:hAnsi="Roboto Medium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Roboto Medium" w:cs="Roboto Medium" w:eastAsia="Roboto Medium" w:hAnsi="Roboto Medium"/>
          <w:color w:val="0f3960"/>
        </w:rPr>
      </w:pPr>
      <w:r w:rsidDel="00000000" w:rsidR="00000000" w:rsidRPr="00000000">
        <w:rPr>
          <w:rFonts w:ascii="Roboto Medium" w:cs="Roboto Medium" w:eastAsia="Roboto Medium" w:hAnsi="Roboto Medium"/>
          <w:color w:val="666666"/>
          <w:rtl w:val="0"/>
        </w:rPr>
        <w:t xml:space="preserve">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Roboto Medium" w:cs="Roboto Medium" w:eastAsia="Roboto Medium" w:hAnsi="Roboto Medium"/>
          <w:color w:val="666666"/>
        </w:rPr>
      </w:pPr>
      <w:r w:rsidDel="00000000" w:rsidR="00000000" w:rsidRPr="00000000">
        <w:rPr>
          <w:rFonts w:ascii="Roboto Medium" w:cs="Roboto Medium" w:eastAsia="Roboto Medium" w:hAnsi="Roboto Medium"/>
          <w:color w:val="666666"/>
          <w:rtl w:val="0"/>
        </w:rPr>
        <w:t xml:space="preserve">Date: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Roboto Medium" w:cs="Roboto Medium" w:eastAsia="Roboto Medium" w:hAnsi="Roboto Medium"/>
          <w:color w:val="666666"/>
        </w:rPr>
      </w:pPr>
      <w:r w:rsidDel="00000000" w:rsidR="00000000" w:rsidRPr="00000000">
        <w:rPr>
          <w:rFonts w:ascii="Roboto Medium" w:cs="Roboto Medium" w:eastAsia="Roboto Medium" w:hAnsi="Roboto Medium"/>
          <w:color w:val="666666"/>
          <w:rtl w:val="0"/>
        </w:rPr>
        <w:t xml:space="preserve">Time: </w:t>
      </w:r>
    </w:p>
    <w:p w:rsidR="00000000" w:rsidDel="00000000" w:rsidP="00000000" w:rsidRDefault="00000000" w:rsidRPr="00000000" w14:paraId="00000009">
      <w:pPr>
        <w:spacing w:line="240" w:lineRule="auto"/>
        <w:ind w:left="450" w:hanging="36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450" w:hanging="36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40.0" w:type="pct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600"/>
      </w:tblPr>
      <w:tblGrid>
        <w:gridCol w:w="4425"/>
        <w:gridCol w:w="720"/>
        <w:gridCol w:w="615"/>
        <w:gridCol w:w="765"/>
        <w:gridCol w:w="3435"/>
        <w:tblGridChange w:id="0">
          <w:tblGrid>
            <w:gridCol w:w="4425"/>
            <w:gridCol w:w="720"/>
            <w:gridCol w:w="615"/>
            <w:gridCol w:w="765"/>
            <w:gridCol w:w="3435"/>
          </w:tblGrid>
        </w:tblGridChange>
      </w:tblGrid>
      <w:tr>
        <w:trPr>
          <w:trHeight w:val="3060" w:hRule="atLeast"/>
        </w:trPr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Details of Non-Conformity Identified:</w:t>
            </w:r>
          </w:p>
        </w:tc>
      </w:tr>
      <w:tr>
        <w:trPr>
          <w:trHeight w:val="3040" w:hRule="atLeast"/>
        </w:trPr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Corrective Action Report Reference:</w:t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ind w:left="0" w:firstLine="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v4fv3mkj94tg" w:id="2"/>
      <w:bookmarkEnd w:id="2"/>
      <w:r w:rsidDel="00000000" w:rsidR="00000000" w:rsidRPr="00000000">
        <w:rPr>
          <w:rtl w:val="0"/>
        </w:rPr>
        <w:t xml:space="preserve">Risk Matrix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1965"/>
        <w:gridCol w:w="1992"/>
        <w:gridCol w:w="1992"/>
        <w:gridCol w:w="1992"/>
        <w:tblGridChange w:id="0">
          <w:tblGrid>
            <w:gridCol w:w="1995"/>
            <w:gridCol w:w="1965"/>
            <w:gridCol w:w="1992"/>
            <w:gridCol w:w="1992"/>
            <w:gridCol w:w="1992"/>
          </w:tblGrid>
        </w:tblGridChange>
      </w:tblGrid>
      <w:tr>
        <w:trPr>
          <w:trHeight w:val="90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Likelihood &gt;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Consequences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Highly Unlikely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Unlikely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Likely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Very Likely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Negligible Consequences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Low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Low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Medium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Medium</w:t>
            </w:r>
          </w:p>
        </w:tc>
      </w:tr>
      <w:tr>
        <w:trPr>
          <w:trHeight w:val="78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Minor Consequences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Low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Medium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Medium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High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Major Consequences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Medium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Medium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High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High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Catastrophic Consequences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Medium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High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High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f3960"/>
              </w:rPr>
            </w:pPr>
            <w:r w:rsidDel="00000000" w:rsidR="00000000" w:rsidRPr="00000000">
              <w:rPr>
                <w:color w:val="0f3960"/>
                <w:rtl w:val="0"/>
              </w:rPr>
              <w:t xml:space="preserve">High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450" w:hanging="36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0.0" w:type="dxa"/>
        <w:jc w:val="left"/>
        <w:tblInd w:w="40.0" w:type="pct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600"/>
      </w:tblPr>
      <w:tblGrid>
        <w:gridCol w:w="4425"/>
        <w:gridCol w:w="720"/>
        <w:gridCol w:w="615"/>
        <w:gridCol w:w="765"/>
        <w:gridCol w:w="3435"/>
        <w:tblGridChange w:id="0">
          <w:tblGrid>
            <w:gridCol w:w="4425"/>
            <w:gridCol w:w="720"/>
            <w:gridCol w:w="615"/>
            <w:gridCol w:w="765"/>
            <w:gridCol w:w="3435"/>
          </w:tblGrid>
        </w:tblGridChange>
      </w:tblGrid>
      <w:tr>
        <w:trPr>
          <w:trHeight w:val="975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Consequences: Very Likely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825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Consequences: Likely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915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Consequences: Unlikely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99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Consequences: Highly Unlikely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Likelihood: Very Likely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975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Likelihood: Likely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0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Likelihood: Unlikely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065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Likelihood: Highly Unlikely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93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Results: High Risk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005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Results:  Medium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035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Results: Low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3280" w:hRule="atLeast"/>
        </w:trPr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Additional comments describing risk and priority:</w:t>
            </w:r>
          </w:p>
        </w:tc>
      </w:tr>
      <w:tr>
        <w:trPr>
          <w:trHeight w:val="3500" w:hRule="atLeast"/>
        </w:trPr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Proposed response to deficiency:</w:t>
            </w:r>
          </w:p>
        </w:tc>
      </w:tr>
      <w:tr>
        <w:trPr>
          <w:trHeight w:val="3500" w:hRule="atLeast"/>
        </w:trPr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Describe corrective action:</w:t>
            </w:r>
          </w:p>
        </w:tc>
      </w:tr>
      <w:tr>
        <w:trPr>
          <w:trHeight w:val="3500" w:hRule="atLeast"/>
        </w:trPr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Timeline of Implementation:</w:t>
            </w:r>
          </w:p>
        </w:tc>
      </w:tr>
    </w:tbl>
    <w:p w:rsidR="00000000" w:rsidDel="00000000" w:rsidP="00000000" w:rsidRDefault="00000000" w:rsidRPr="00000000" w14:paraId="00000080">
      <w:pPr>
        <w:spacing w:line="240" w:lineRule="auto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 Medium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spacing w:line="240" w:lineRule="auto"/>
      <w:ind w:right="-60"/>
      <w:jc w:val="center"/>
      <w:rPr>
        <w:rFonts w:ascii="Roboto" w:cs="Roboto" w:eastAsia="Roboto" w:hAnsi="Roboto"/>
        <w:color w:val="467bad"/>
      </w:rPr>
    </w:pPr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Conduct this inspection on your mobile device for free. Get Safesite on </w:t>
    </w:r>
    <w:hyperlink r:id="rId1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iOS</w:t>
      </w:r>
    </w:hyperlink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, </w:t>
    </w:r>
    <w:hyperlink r:id="rId2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Android</w:t>
      </w:r>
    </w:hyperlink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, or </w:t>
    </w:r>
    <w:hyperlink r:id="rId3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Desktop</w:t>
      </w:r>
    </w:hyperlink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.</w:t>
    </w:r>
  </w:p>
  <w:p w:rsidR="00000000" w:rsidDel="00000000" w:rsidP="00000000" w:rsidRDefault="00000000" w:rsidRPr="00000000" w14:paraId="00000083">
    <w:pPr>
      <w:spacing w:line="240" w:lineRule="auto"/>
      <w:ind w:right="-60"/>
      <w:jc w:val="center"/>
      <w:rPr>
        <w:rFonts w:ascii="Roboto" w:cs="Roboto" w:eastAsia="Roboto" w:hAnsi="Roboto"/>
        <w:color w:val="467bad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spacing w:line="240" w:lineRule="auto"/>
      <w:ind w:right="-60"/>
      <w:jc w:val="center"/>
      <w:rPr/>
    </w:pPr>
    <w:hyperlink r:id="rId4">
      <w:r w:rsidDel="00000000" w:rsidR="00000000" w:rsidRPr="00000000">
        <w:rPr>
          <w:rFonts w:ascii="Roboto" w:cs="Roboto" w:eastAsia="Roboto" w:hAnsi="Roboto"/>
          <w:color w:val="1155cc"/>
          <w:sz w:val="24"/>
          <w:szCs w:val="24"/>
          <w:u w:val="single"/>
        </w:rPr>
        <w:drawing>
          <wp:inline distB="114300" distT="114300" distL="114300" distR="114300">
            <wp:extent cx="1559243" cy="3321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9243" cy="332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Fonts w:ascii="Roboto" w:cs="Roboto" w:eastAsia="Roboto" w:hAnsi="Roboto"/>
        <w:color w:val="467bad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  <w:ind w:left="450" w:hanging="360"/>
    </w:pPr>
    <w:rPr>
      <w:rFonts w:ascii="Roboto Slab" w:cs="Roboto Slab" w:eastAsia="Roboto Slab" w:hAnsi="Roboto Slab"/>
      <w:b w:val="1"/>
      <w:color w:val="0f396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0" Type="http://schemas.openxmlformats.org/officeDocument/2006/relationships/font" Target="fonts/RobotoMedium-boldItalic.ttf"/><Relationship Id="rId9" Type="http://schemas.openxmlformats.org/officeDocument/2006/relationships/font" Target="fonts/RobotoMedium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RobotoMedium-regular.ttf"/><Relationship Id="rId8" Type="http://schemas.openxmlformats.org/officeDocument/2006/relationships/font" Target="fonts/RobotoMedium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tunes.apple.com/app/safesite-construction-safety/id892386806?mt=8" TargetMode="External"/><Relationship Id="rId2" Type="http://schemas.openxmlformats.org/officeDocument/2006/relationships/hyperlink" Target="https://play.google.com/store/apps/details?id=com.safesiteapp.harness" TargetMode="External"/><Relationship Id="rId3" Type="http://schemas.openxmlformats.org/officeDocument/2006/relationships/hyperlink" Target="https://app.safesitehq.com/accounts/signup/" TargetMode="External"/><Relationship Id="rId4" Type="http://schemas.openxmlformats.org/officeDocument/2006/relationships/hyperlink" Target="https://safesitehq.com/" TargetMode="External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