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ind w:left="90" w:firstLine="0"/>
        <w:rPr>
          <w:rFonts w:ascii="Roboto" w:cs="Roboto" w:eastAsia="Roboto" w:hAnsi="Roboto"/>
          <w:color w:val="0f3960"/>
        </w:rPr>
      </w:pPr>
      <w:bookmarkStart w:colFirst="0" w:colLast="0" w:name="_nx7t6tuvsw27" w:id="0"/>
      <w:bookmarkEnd w:id="0"/>
      <w:r w:rsidDel="00000000" w:rsidR="00000000" w:rsidRPr="00000000">
        <w:rPr>
          <w:rFonts w:ascii="Roboto Slab" w:cs="Roboto Slab" w:eastAsia="Roboto Slab" w:hAnsi="Roboto Slab"/>
          <w:b w:val="1"/>
          <w:color w:val="0f3960"/>
          <w:sz w:val="60"/>
          <w:szCs w:val="60"/>
          <w:rtl w:val="0"/>
        </w:rPr>
        <w:t xml:space="preserve">Electrical Safety Checklist</w:t>
      </w:r>
      <w:r w:rsidDel="00000000" w:rsidR="00000000" w:rsidRPr="00000000">
        <w:rPr>
          <w:rtl w:val="0"/>
        </w:rPr>
      </w:r>
    </w:p>
    <w:p w:rsidR="00000000" w:rsidDel="00000000" w:rsidP="00000000" w:rsidRDefault="00000000" w:rsidRPr="00000000" w14:paraId="00000002">
      <w:pPr>
        <w:spacing w:line="240" w:lineRule="auto"/>
        <w:ind w:left="9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03">
      <w:pPr>
        <w:pStyle w:val="Subtitle"/>
        <w:spacing w:after="0" w:line="240" w:lineRule="auto"/>
        <w:ind w:left="90" w:firstLine="0"/>
        <w:rPr>
          <w:rFonts w:ascii="Roboto" w:cs="Roboto" w:eastAsia="Roboto" w:hAnsi="Roboto"/>
          <w:color w:val="0f3960"/>
          <w:sz w:val="28"/>
          <w:szCs w:val="28"/>
        </w:rPr>
      </w:pPr>
      <w:bookmarkStart w:colFirst="0" w:colLast="0" w:name="_erlnxlbnclu7" w:id="1"/>
      <w:bookmarkEnd w:id="1"/>
      <w:r w:rsidDel="00000000" w:rsidR="00000000" w:rsidRPr="00000000">
        <w:rPr>
          <w:rFonts w:ascii="Roboto" w:cs="Roboto" w:eastAsia="Roboto" w:hAnsi="Roboto"/>
          <w:color w:val="0f3960"/>
          <w:sz w:val="28"/>
          <w:szCs w:val="28"/>
          <w:rtl w:val="0"/>
        </w:rPr>
        <w:t xml:space="preserve">Electricity has long been recognized as a serious workplace hazard. OSHA's electrical standards are designed to protect employees in all industries and prevent injuries resulting from dangers such as electric shock, electrocution, fires, and explosions. Ensure your workplace is compliant with basic OSHA electrical regulations and your workforce is kept as safe as possible. </w:t>
      </w:r>
    </w:p>
    <w:p w:rsidR="00000000" w:rsidDel="00000000" w:rsidP="00000000" w:rsidRDefault="00000000" w:rsidRPr="00000000" w14:paraId="00000004">
      <w:pPr>
        <w:spacing w:line="240" w:lineRule="auto"/>
        <w:ind w:left="450" w:hanging="360"/>
        <w:rPr>
          <w:rFonts w:ascii="Roboto Medium" w:cs="Roboto Medium" w:eastAsia="Roboto Medium" w:hAnsi="Roboto Medium"/>
          <w:color w:val="0f3960"/>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480" w:lineRule="auto"/>
        <w:rPr>
          <w:rFonts w:ascii="Roboto Medium" w:cs="Roboto Medium" w:eastAsia="Roboto Medium" w:hAnsi="Roboto Medium"/>
          <w:color w:val="666666"/>
        </w:rPr>
      </w:pPr>
      <w:r w:rsidDel="00000000" w:rsidR="00000000" w:rsidRPr="00000000">
        <w:rPr>
          <w:rtl w:val="0"/>
        </w:rPr>
      </w:r>
    </w:p>
    <w:p w:rsidR="00000000" w:rsidDel="00000000" w:rsidP="00000000" w:rsidRDefault="00000000" w:rsidRPr="00000000" w14:paraId="00000006">
      <w:pPr>
        <w:spacing w:line="480" w:lineRule="auto"/>
        <w:rPr>
          <w:rFonts w:ascii="Roboto Medium" w:cs="Roboto Medium" w:eastAsia="Roboto Medium" w:hAnsi="Roboto Medium"/>
          <w:color w:val="0f3960"/>
        </w:rPr>
      </w:pPr>
      <w:r w:rsidDel="00000000" w:rsidR="00000000" w:rsidRPr="00000000">
        <w:rPr>
          <w:rFonts w:ascii="Roboto Medium" w:cs="Roboto Medium" w:eastAsia="Roboto Medium" w:hAnsi="Roboto Medium"/>
          <w:color w:val="666666"/>
          <w:rtl w:val="0"/>
        </w:rPr>
        <w:t xml:space="preserve">By: </w:t>
      </w:r>
      <w:r w:rsidDel="00000000" w:rsidR="00000000" w:rsidRPr="00000000">
        <w:rPr>
          <w:rtl w:val="0"/>
        </w:rPr>
      </w:r>
    </w:p>
    <w:p w:rsidR="00000000" w:rsidDel="00000000" w:rsidP="00000000" w:rsidRDefault="00000000" w:rsidRPr="00000000" w14:paraId="00000007">
      <w:pPr>
        <w:spacing w:line="480" w:lineRule="auto"/>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tl w:val="0"/>
        </w:rPr>
        <w:t xml:space="preserve">Date:</w:t>
      </w:r>
    </w:p>
    <w:p w:rsidR="00000000" w:rsidDel="00000000" w:rsidP="00000000" w:rsidRDefault="00000000" w:rsidRPr="00000000" w14:paraId="00000008">
      <w:pPr>
        <w:spacing w:line="480" w:lineRule="auto"/>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tl w:val="0"/>
        </w:rPr>
        <w:t xml:space="preserve">Time: </w:t>
      </w:r>
    </w:p>
    <w:p w:rsidR="00000000" w:rsidDel="00000000" w:rsidP="00000000" w:rsidRDefault="00000000" w:rsidRPr="00000000" w14:paraId="00000009">
      <w:pPr>
        <w:spacing w:line="240" w:lineRule="auto"/>
        <w:ind w:left="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0A">
      <w:pPr>
        <w:spacing w:line="240" w:lineRule="auto"/>
        <w:ind w:left="450" w:hanging="360"/>
        <w:rPr>
          <w:rFonts w:ascii="Roboto" w:cs="Roboto" w:eastAsia="Roboto" w:hAnsi="Roboto"/>
          <w:color w:val="0f3960"/>
        </w:rPr>
      </w:pPr>
      <w:r w:rsidDel="00000000" w:rsidR="00000000" w:rsidRPr="00000000">
        <w:rPr>
          <w:rtl w:val="0"/>
        </w:rPr>
      </w:r>
    </w:p>
    <w:tbl>
      <w:tblPr>
        <w:tblStyle w:val="Table1"/>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0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equipment, including electrical plugs and cords, kept in good repair?</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flexible cords used only in continuous lengths without splices or taps?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flexible cords and cables prohibited from being used as a substitute for the fixed wiring of a structure; attached to building surfaces; concealed; run through holes in walls, ceilings, or floors?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all electrical equipment grounded, and portable GFCIs required to be used on portable electrical equipment?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all cord-connected, electrically-operated tools used by employees at their workplace in good condition?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each type of disconnecting means (I.e. Circuit Breaker, knife switch, etc.) required by the low voltage electrical safety orders is legibly marked to indicate its purpose unless it is located and arranged so that the purpose is evident?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ground-fault circuit interrupters used whenever equipment is in a wet environment such as a restroom?</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the existing Electrical Panel Directories and Equipment Disconnecting Means accurately labeled, legibly marked, and kept updated to indicate specific purpose?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sufficient access and working space (I.e. 36 inches) provided and maintained around electrical equipment allowed for safe operation and maintenance?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all facility electrical equipment marked with Manufacturer's name, trademark, or other descriptive markings by with it can be identified, including the voltage, current, wattage or other ratings?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energized parts of electrical equipment operating at 50 V or more guarded against accidental contact by use of approved cabinets or other forms of approved enclosures?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hot plates, heating mantles, and other heaters with enclosed elements, prohibited or required to have a thermal shut-off or tip-over-protection safety device?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electricians and "Qualified Electrical Workers" trained in NFPA 70E safe work practices and authorized to work on specific equipment?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Does each employee who is exposed to the hazards of flames or electric arcs wear Arc Rated (AR/FR) apparel and PPE when working on or around exposed electrical conductors?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38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51">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all electrical equipment and systems treated as energized until tested or otherwise proven to be de-energized?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56">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Does the organization have a written Control of Hazardous Energy (LOTO) Program?</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26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5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Do Authorized Workers who perform lockout-tagout have the appropriate training?</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250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6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Write Comments or Remarks here:</w:t>
            </w:r>
          </w:p>
          <w:p w:rsidR="00000000" w:rsidDel="00000000" w:rsidP="00000000" w:rsidRDefault="00000000" w:rsidRPr="00000000" w14:paraId="00000061">
            <w:pPr>
              <w:widowControl w:val="0"/>
              <w:spacing w:line="240" w:lineRule="auto"/>
              <w:ind w:left="450" w:hanging="360"/>
              <w:rPr>
                <w:rFonts w:ascii="Roboto" w:cs="Roboto" w:eastAsia="Roboto" w:hAnsi="Roboto"/>
                <w:color w:val="0f3960"/>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sectPr>
      <w:footerReference r:id="rId6" w:type="default"/>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Roboto Medium">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spacing w:line="240" w:lineRule="auto"/>
      <w:ind w:right="-60"/>
      <w:jc w:val="center"/>
      <w:rPr>
        <w:rFonts w:ascii="Roboto" w:cs="Roboto" w:eastAsia="Roboto" w:hAnsi="Roboto"/>
        <w:color w:val="467bad"/>
      </w:rPr>
    </w:pPr>
    <w:r w:rsidDel="00000000" w:rsidR="00000000" w:rsidRPr="00000000">
      <w:rPr>
        <w:rFonts w:ascii="Roboto" w:cs="Roboto" w:eastAsia="Roboto" w:hAnsi="Roboto"/>
        <w:color w:val="467bad"/>
        <w:rtl w:val="0"/>
      </w:rPr>
      <w:t xml:space="preserve">Conduct this inspection on your mobile device for free. Get Safesite on </w:t>
    </w:r>
    <w:hyperlink r:id="rId1">
      <w:r w:rsidDel="00000000" w:rsidR="00000000" w:rsidRPr="00000000">
        <w:rPr>
          <w:rFonts w:ascii="Roboto" w:cs="Roboto" w:eastAsia="Roboto" w:hAnsi="Roboto"/>
          <w:color w:val="1155cc"/>
          <w:u w:val="single"/>
          <w:rtl w:val="0"/>
        </w:rPr>
        <w:t xml:space="preserve">iOS</w:t>
      </w:r>
    </w:hyperlink>
    <w:r w:rsidDel="00000000" w:rsidR="00000000" w:rsidRPr="00000000">
      <w:rPr>
        <w:rFonts w:ascii="Roboto" w:cs="Roboto" w:eastAsia="Roboto" w:hAnsi="Roboto"/>
        <w:color w:val="467bad"/>
        <w:rtl w:val="0"/>
      </w:rPr>
      <w:t xml:space="preserve">, </w:t>
    </w:r>
    <w:hyperlink r:id="rId2">
      <w:r w:rsidDel="00000000" w:rsidR="00000000" w:rsidRPr="00000000">
        <w:rPr>
          <w:rFonts w:ascii="Roboto" w:cs="Roboto" w:eastAsia="Roboto" w:hAnsi="Roboto"/>
          <w:color w:val="1155cc"/>
          <w:u w:val="single"/>
          <w:rtl w:val="0"/>
        </w:rPr>
        <w:t xml:space="preserve">Android</w:t>
      </w:r>
    </w:hyperlink>
    <w:r w:rsidDel="00000000" w:rsidR="00000000" w:rsidRPr="00000000">
      <w:rPr>
        <w:rFonts w:ascii="Roboto" w:cs="Roboto" w:eastAsia="Roboto" w:hAnsi="Roboto"/>
        <w:color w:val="467bad"/>
        <w:rtl w:val="0"/>
      </w:rPr>
      <w:t xml:space="preserve">, or </w:t>
    </w:r>
    <w:hyperlink r:id="rId3">
      <w:r w:rsidDel="00000000" w:rsidR="00000000" w:rsidRPr="00000000">
        <w:rPr>
          <w:rFonts w:ascii="Roboto" w:cs="Roboto" w:eastAsia="Roboto" w:hAnsi="Roboto"/>
          <w:color w:val="1155cc"/>
          <w:u w:val="single"/>
          <w:rtl w:val="0"/>
        </w:rPr>
        <w:t xml:space="preserve">Desktop</w:t>
      </w:r>
    </w:hyperlink>
    <w:r w:rsidDel="00000000" w:rsidR="00000000" w:rsidRPr="00000000">
      <w:rPr>
        <w:rFonts w:ascii="Roboto" w:cs="Roboto" w:eastAsia="Roboto" w:hAnsi="Roboto"/>
        <w:color w:val="467bad"/>
        <w:rtl w:val="0"/>
      </w:rPr>
      <w:t xml:space="preserve">.</w:t>
    </w:r>
  </w:p>
  <w:p w:rsidR="00000000" w:rsidDel="00000000" w:rsidP="00000000" w:rsidRDefault="00000000" w:rsidRPr="00000000" w14:paraId="00000068">
    <w:pPr>
      <w:spacing w:line="240" w:lineRule="auto"/>
      <w:ind w:right="-60"/>
      <w:jc w:val="center"/>
      <w:rPr>
        <w:rFonts w:ascii="Roboto" w:cs="Roboto" w:eastAsia="Roboto" w:hAnsi="Roboto"/>
        <w:color w:val="467bad"/>
        <w:sz w:val="24"/>
        <w:szCs w:val="24"/>
      </w:rPr>
    </w:pPr>
    <w:r w:rsidDel="00000000" w:rsidR="00000000" w:rsidRPr="00000000">
      <w:rPr>
        <w:rtl w:val="0"/>
      </w:rPr>
    </w:r>
  </w:p>
  <w:p w:rsidR="00000000" w:rsidDel="00000000" w:rsidP="00000000" w:rsidRDefault="00000000" w:rsidRPr="00000000" w14:paraId="00000069">
    <w:pPr>
      <w:spacing w:line="240" w:lineRule="auto"/>
      <w:ind w:right="-60"/>
      <w:jc w:val="center"/>
      <w:rPr/>
    </w:pPr>
    <w:hyperlink r:id="rId4">
      <w:r w:rsidDel="00000000" w:rsidR="00000000" w:rsidRPr="00000000">
        <w:rPr>
          <w:rFonts w:ascii="Roboto" w:cs="Roboto" w:eastAsia="Roboto" w:hAnsi="Roboto"/>
          <w:color w:val="1155cc"/>
          <w:sz w:val="24"/>
          <w:szCs w:val="24"/>
          <w:u w:val="single"/>
        </w:rPr>
        <w:drawing>
          <wp:inline distB="114300" distT="114300" distL="114300" distR="114300">
            <wp:extent cx="1559243" cy="332105"/>
            <wp:effectExtent b="0" l="0" r="0" t="0"/>
            <wp:docPr id="1"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1559243" cy="332105"/>
                    </a:xfrm>
                    <a:prstGeom prst="rect"/>
                    <a:ln/>
                  </pic:spPr>
                </pic:pic>
              </a:graphicData>
            </a:graphic>
          </wp:inline>
        </w:drawing>
      </w:r>
    </w:hyperlink>
    <w:r w:rsidDel="00000000" w:rsidR="00000000" w:rsidRPr="00000000">
      <w:rPr>
        <w:rFonts w:ascii="Roboto" w:cs="Roboto" w:eastAsia="Roboto" w:hAnsi="Roboto"/>
        <w:color w:val="467bad"/>
        <w:sz w:val="24"/>
        <w:szCs w:val="24"/>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240" w:lineRule="auto"/>
      <w:ind w:left="450" w:hanging="360"/>
    </w:pPr>
    <w:rPr>
      <w:rFonts w:ascii="Roboto Slab" w:cs="Roboto Slab" w:eastAsia="Roboto Slab" w:hAnsi="Roboto Slab"/>
      <w:b w:val="1"/>
      <w:color w:val="0f396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10" Type="http://schemas.openxmlformats.org/officeDocument/2006/relationships/font" Target="fonts/RobotoMedium-boldItalic.ttf"/><Relationship Id="rId9" Type="http://schemas.openxmlformats.org/officeDocument/2006/relationships/font" Target="fonts/RobotoMedium-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RobotoMedium-regular.ttf"/><Relationship Id="rId8" Type="http://schemas.openxmlformats.org/officeDocument/2006/relationships/font" Target="fonts/RobotoMedium-bold.ttf"/></Relationships>
</file>

<file path=word/_rels/footer1.xml.rels><?xml version="1.0" encoding="UTF-8" standalone="yes"?><Relationships xmlns="http://schemas.openxmlformats.org/package/2006/relationships"><Relationship Id="rId1" Type="http://schemas.openxmlformats.org/officeDocument/2006/relationships/hyperlink" Target="https://itunes.apple.com/app/safesite-construction-safety/id892386806?mt=8" TargetMode="External"/><Relationship Id="rId2" Type="http://schemas.openxmlformats.org/officeDocument/2006/relationships/hyperlink" Target="https://play.google.com/store/apps/details?id=com.safesiteapp.harness" TargetMode="External"/><Relationship Id="rId3" Type="http://schemas.openxmlformats.org/officeDocument/2006/relationships/hyperlink" Target="https://app.safesitehq.com/accounts/signup/" TargetMode="External"/><Relationship Id="rId4" Type="http://schemas.openxmlformats.org/officeDocument/2006/relationships/hyperlink" Target="https://safesitehq.com/" TargetMode="Externa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